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7A0F">
      <w:pPr>
        <w:pStyle w:val="ab"/>
        <w:ind w:firstLineChars="3000" w:firstLine="7200"/>
        <w:rPr>
          <w:rFonts w:ascii="ＭＳ 明朝" w:hAnsi="ＭＳ 明朝" w:cs="HG丸ｺﾞｼｯｸM-PRO"/>
          <w:bCs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HG丸ｺﾞｼｯｸM-PRO" w:hint="eastAsia"/>
          <w:bCs/>
          <w:sz w:val="24"/>
          <w:szCs w:val="24"/>
        </w:rPr>
        <w:t>令和元年１</w:t>
      </w:r>
      <w:r>
        <w:rPr>
          <w:rFonts w:ascii="ＭＳ 明朝" w:hAnsi="ＭＳ 明朝" w:cs="HG丸ｺﾞｼｯｸM-PRO" w:hint="eastAsia"/>
          <w:bCs/>
          <w:sz w:val="24"/>
          <w:szCs w:val="24"/>
        </w:rPr>
        <w:t>1</w:t>
      </w:r>
      <w:r>
        <w:rPr>
          <w:rFonts w:ascii="ＭＳ 明朝" w:hAnsi="ＭＳ 明朝" w:cs="HG丸ｺﾞｼｯｸM-PRO" w:hint="eastAsia"/>
          <w:bCs/>
          <w:sz w:val="24"/>
          <w:szCs w:val="24"/>
        </w:rPr>
        <w:t>月</w:t>
      </w:r>
      <w:r>
        <w:rPr>
          <w:rFonts w:ascii="ＭＳ 明朝" w:hAnsi="ＭＳ 明朝" w:cs="HG丸ｺﾞｼｯｸM-PRO" w:hint="eastAsia"/>
          <w:bCs/>
          <w:sz w:val="24"/>
          <w:szCs w:val="24"/>
        </w:rPr>
        <w:t>12</w:t>
      </w:r>
      <w:r>
        <w:rPr>
          <w:rFonts w:ascii="ＭＳ 明朝" w:hAnsi="ＭＳ 明朝" w:cs="HG丸ｺﾞｼｯｸM-PRO" w:hint="eastAsia"/>
          <w:bCs/>
          <w:sz w:val="24"/>
          <w:szCs w:val="24"/>
        </w:rPr>
        <w:t>日</w:t>
      </w:r>
    </w:p>
    <w:p w:rsidR="00000000" w:rsidRDefault="00A57A0F">
      <w:pPr>
        <w:pStyle w:val="ab"/>
        <w:ind w:firstLineChars="100" w:firstLine="240"/>
        <w:rPr>
          <w:rFonts w:ascii="ＭＳ 明朝" w:hAnsi="ＭＳ 明朝" w:cs="HG丸ｺﾞｼｯｸM-PRO" w:hint="eastAsia"/>
          <w:bCs/>
          <w:sz w:val="24"/>
          <w:szCs w:val="24"/>
        </w:rPr>
      </w:pPr>
      <w:r>
        <w:rPr>
          <w:rFonts w:ascii="ＭＳ 明朝" w:hAnsi="ＭＳ 明朝" w:cs="HG丸ｺﾞｼｯｸM-PRO" w:hint="eastAsia"/>
          <w:bCs/>
          <w:sz w:val="24"/>
          <w:szCs w:val="24"/>
        </w:rPr>
        <w:t>参加支部代表者殿</w:t>
      </w:r>
    </w:p>
    <w:p w:rsidR="00000000" w:rsidRDefault="00A57A0F">
      <w:pPr>
        <w:pStyle w:val="ab"/>
        <w:jc w:val="center"/>
        <w:rPr>
          <w:rFonts w:ascii="ＭＳ 明朝" w:hAnsi="ＭＳ 明朝" w:cs="HG丸ｺﾞｼｯｸM-PRO"/>
          <w:bCs/>
          <w:sz w:val="24"/>
          <w:szCs w:val="24"/>
        </w:rPr>
      </w:pPr>
      <w:r>
        <w:rPr>
          <w:rFonts w:ascii="ＭＳ 明朝" w:hAnsi="ＭＳ 明朝" w:cs="HG丸ｺﾞｼｯｸM-PRO" w:hint="eastAsia"/>
          <w:bCs/>
          <w:sz w:val="24"/>
          <w:szCs w:val="24"/>
        </w:rPr>
        <w:t xml:space="preserve">　　　　　　　　　　　　　　　　　　　　　　　　　　　海老名市剣道連盟</w:t>
      </w:r>
    </w:p>
    <w:p w:rsidR="00000000" w:rsidRDefault="00A57A0F">
      <w:pPr>
        <w:pStyle w:val="ab"/>
        <w:jc w:val="center"/>
        <w:rPr>
          <w:rFonts w:ascii="ＭＳ 明朝" w:hAnsi="ＭＳ 明朝" w:cs="HG丸ｺﾞｼｯｸM-PRO" w:hint="eastAsia"/>
          <w:bCs/>
          <w:sz w:val="24"/>
          <w:szCs w:val="24"/>
        </w:rPr>
      </w:pPr>
      <w:r>
        <w:rPr>
          <w:rFonts w:ascii="ＭＳ 明朝" w:hAnsi="ＭＳ 明朝" w:cs="HG丸ｺﾞｼｯｸM-PRO" w:hint="eastAsia"/>
          <w:bCs/>
          <w:sz w:val="24"/>
          <w:szCs w:val="24"/>
        </w:rPr>
        <w:t xml:space="preserve">　　　　　　　　　　　　　　　　　　　　　　　　　　　会長　　鈴木泰介</w:t>
      </w:r>
    </w:p>
    <w:p w:rsidR="00000000" w:rsidRDefault="00A57A0F">
      <w:pPr>
        <w:pStyle w:val="ab"/>
        <w:rPr>
          <w:rFonts w:ascii="ＭＳ 明朝" w:hAnsi="ＭＳ 明朝" w:cs="HG丸ｺﾞｼｯｸM-PRO" w:hint="eastAsia"/>
          <w:bCs/>
          <w:sz w:val="24"/>
          <w:szCs w:val="24"/>
        </w:rPr>
      </w:pPr>
      <w:r>
        <w:rPr>
          <w:rFonts w:ascii="ＭＳ 明朝" w:hAnsi="ＭＳ 明朝" w:cs="HG丸ｺﾞｼｯｸM-PRO" w:hint="eastAsia"/>
          <w:bCs/>
          <w:sz w:val="24"/>
          <w:szCs w:val="24"/>
        </w:rPr>
        <w:t xml:space="preserve">　</w:t>
      </w:r>
    </w:p>
    <w:p w:rsidR="00000000" w:rsidRDefault="00A57A0F">
      <w:pPr>
        <w:pStyle w:val="ab"/>
        <w:rPr>
          <w:rFonts w:ascii="ＭＳ 明朝" w:hAnsi="ＭＳ 明朝" w:cs="HG丸ｺﾞｼｯｸM-PRO"/>
          <w:bCs/>
          <w:sz w:val="24"/>
          <w:szCs w:val="24"/>
        </w:rPr>
      </w:pPr>
      <w:r>
        <w:rPr>
          <w:rFonts w:ascii="ＭＳ 明朝" w:hAnsi="ＭＳ 明朝" w:cs="HG丸ｺﾞｼｯｸM-PRO" w:hint="eastAsia"/>
          <w:bCs/>
          <w:sz w:val="24"/>
          <w:szCs w:val="24"/>
        </w:rPr>
        <w:t xml:space="preserve">　　　　第１</w:t>
      </w:r>
      <w:r>
        <w:rPr>
          <w:rFonts w:ascii="ＭＳ 明朝" w:hAnsi="ＭＳ 明朝" w:cs="HG丸ｺﾞｼｯｸM-PRO" w:hint="eastAsia"/>
          <w:bCs/>
          <w:sz w:val="24"/>
          <w:szCs w:val="24"/>
        </w:rPr>
        <w:t>3</w:t>
      </w:r>
      <w:r>
        <w:rPr>
          <w:rFonts w:ascii="ＭＳ 明朝" w:hAnsi="ＭＳ 明朝" w:cs="HG丸ｺﾞｼｯｸM-PRO" w:hint="eastAsia"/>
          <w:bCs/>
          <w:sz w:val="24"/>
          <w:szCs w:val="24"/>
        </w:rPr>
        <w:t>回県央えびな少年少女剣道オープン大会の運営について</w:t>
      </w:r>
    </w:p>
    <w:p w:rsidR="00000000" w:rsidRDefault="00A57A0F">
      <w:pPr>
        <w:pStyle w:val="ab"/>
        <w:ind w:firstLineChars="100" w:firstLine="240"/>
        <w:rPr>
          <w:rFonts w:ascii="ＭＳ 明朝" w:hAnsi="ＭＳ 明朝" w:cs="HG丸ｺﾞｼｯｸM-PRO"/>
          <w:bCs/>
          <w:sz w:val="24"/>
          <w:szCs w:val="24"/>
        </w:rPr>
      </w:pPr>
    </w:p>
    <w:p w:rsidR="00000000" w:rsidRDefault="00A57A0F">
      <w:pPr>
        <w:pStyle w:val="ab"/>
        <w:ind w:firstLineChars="100" w:firstLine="240"/>
        <w:rPr>
          <w:rFonts w:ascii="ＭＳ 明朝" w:hAnsi="ＭＳ 明朝" w:cs="HG丸ｺﾞｼｯｸM-PRO"/>
          <w:bCs/>
          <w:sz w:val="24"/>
          <w:szCs w:val="24"/>
        </w:rPr>
      </w:pPr>
      <w:r>
        <w:rPr>
          <w:rFonts w:ascii="ＭＳ 明朝" w:hAnsi="ＭＳ 明朝" w:cs="HG丸ｺﾞｼｯｸM-PRO" w:hint="eastAsia"/>
          <w:bCs/>
          <w:sz w:val="24"/>
          <w:szCs w:val="24"/>
        </w:rPr>
        <w:t>向寒の候、皆様におかれましてはご清栄のこととお喜び申し上げます。</w:t>
      </w:r>
    </w:p>
    <w:p w:rsidR="00000000" w:rsidRDefault="00A57A0F">
      <w:pPr>
        <w:pStyle w:val="ab"/>
        <w:ind w:firstLineChars="100" w:firstLine="240"/>
        <w:rPr>
          <w:rFonts w:ascii="ＭＳ 明朝" w:hAnsi="ＭＳ 明朝" w:cs="HG丸ｺﾞｼｯｸM-PRO"/>
          <w:bCs/>
          <w:sz w:val="24"/>
          <w:szCs w:val="24"/>
        </w:rPr>
      </w:pPr>
      <w:r>
        <w:rPr>
          <w:rFonts w:ascii="ＭＳ 明朝" w:hAnsi="ＭＳ 明朝" w:cs="HG丸ｺﾞｼｯｸM-PRO" w:hint="eastAsia"/>
          <w:bCs/>
          <w:sz w:val="24"/>
          <w:szCs w:val="24"/>
        </w:rPr>
        <w:t>さて標記大会を皆さまのご協力のもと、来年２月</w:t>
      </w:r>
      <w:r>
        <w:rPr>
          <w:rFonts w:ascii="ＭＳ 明朝" w:hAnsi="ＭＳ 明朝" w:cs="HG丸ｺﾞｼｯｸM-PRO" w:hint="eastAsia"/>
          <w:bCs/>
          <w:sz w:val="24"/>
          <w:szCs w:val="24"/>
        </w:rPr>
        <w:t>11</w:t>
      </w:r>
      <w:r>
        <w:rPr>
          <w:rFonts w:ascii="ＭＳ 明朝" w:hAnsi="ＭＳ 明朝" w:cs="HG丸ｺﾞｼｯｸM-PRO" w:hint="eastAsia"/>
          <w:bCs/>
          <w:sz w:val="24"/>
          <w:szCs w:val="24"/>
        </w:rPr>
        <w:t>日（火）に開催しますが、円滑な運営を図る為、前回より判定制を導入しております。つきましては下記について、選手並びに審判の先生方に事前に周知され</w:t>
      </w:r>
      <w:r>
        <w:rPr>
          <w:rFonts w:ascii="ＭＳ 明朝" w:hAnsi="ＭＳ 明朝" w:cs="HG丸ｺﾞｼｯｸM-PRO" w:hint="eastAsia"/>
          <w:bCs/>
          <w:sz w:val="24"/>
          <w:szCs w:val="24"/>
        </w:rPr>
        <w:t>ますようお願いいたします。</w:t>
      </w:r>
    </w:p>
    <w:p w:rsidR="00000000" w:rsidRDefault="00A57A0F">
      <w:pPr>
        <w:pStyle w:val="ab"/>
        <w:ind w:firstLineChars="100" w:firstLine="240"/>
        <w:rPr>
          <w:rFonts w:ascii="ＭＳ 明朝" w:hAnsi="ＭＳ 明朝" w:cs="HG丸ｺﾞｼｯｸM-PRO" w:hint="eastAsia"/>
          <w:bCs/>
          <w:sz w:val="24"/>
          <w:szCs w:val="24"/>
        </w:rPr>
      </w:pPr>
    </w:p>
    <w:p w:rsidR="00000000" w:rsidRDefault="00A57A0F">
      <w:pPr>
        <w:pStyle w:val="ab"/>
        <w:ind w:firstLineChars="100" w:firstLine="281"/>
        <w:rPr>
          <w:rFonts w:ascii="ＭＳ 明朝" w:hAnsi="ＭＳ 明朝" w:cs="HG丸ｺﾞｼｯｸM-PRO"/>
          <w:b/>
          <w:bCs/>
          <w:sz w:val="28"/>
          <w:szCs w:val="28"/>
        </w:rPr>
      </w:pPr>
      <w:r>
        <w:rPr>
          <w:rFonts w:ascii="ＭＳ 明朝" w:hAnsi="ＭＳ 明朝" w:cs="HG丸ｺﾞｼｯｸM-PRO" w:hint="eastAsia"/>
          <w:b/>
          <w:bCs/>
          <w:sz w:val="28"/>
          <w:szCs w:val="28"/>
        </w:rPr>
        <w:t xml:space="preserve">　　　　　　　　　　　　　　　記</w:t>
      </w:r>
    </w:p>
    <w:p w:rsidR="00000000" w:rsidRDefault="00A57A0F">
      <w:pPr>
        <w:pStyle w:val="ab"/>
        <w:ind w:firstLineChars="100" w:firstLine="240"/>
        <w:rPr>
          <w:rFonts w:ascii="ＭＳ 明朝" w:hAnsi="ＭＳ 明朝" w:cs="ＭＳ ゴシック"/>
          <w:sz w:val="24"/>
          <w:szCs w:val="24"/>
        </w:rPr>
      </w:pPr>
    </w:p>
    <w:p w:rsidR="00000000" w:rsidRDefault="00A57A0F">
      <w:pPr>
        <w:pStyle w:val="ab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試合方法</w:t>
      </w:r>
    </w:p>
    <w:p w:rsidR="00000000" w:rsidRDefault="00A57A0F">
      <w:pPr>
        <w:ind w:left="480" w:hangingChars="200" w:hanging="480"/>
        <w:rPr>
          <w:rFonts w:ascii="ＭＳ 明朝" w:hAnsi="ＭＳ 明朝" w:cs="ＭＳ ゴシック"/>
          <w:b/>
          <w:sz w:val="24"/>
          <w:u w:val="wave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cs="ＭＳ ゴシック" w:hint="eastAsia"/>
          <w:b/>
          <w:sz w:val="24"/>
        </w:rPr>
        <w:t xml:space="preserve">　（　</w:t>
      </w:r>
      <w:r>
        <w:rPr>
          <w:rFonts w:ascii="ＭＳ 明朝" w:hAnsi="ＭＳ 明朝" w:cs="ＭＳ ゴシック" w:hint="eastAsia"/>
          <w:b/>
          <w:sz w:val="24"/>
          <w:u w:val="wave"/>
        </w:rPr>
        <w:t xml:space="preserve">　　　部</w:t>
      </w:r>
      <w:r>
        <w:rPr>
          <w:rFonts w:ascii="ＭＳ 明朝" w:hAnsi="ＭＳ 明朝" w:cs="ＭＳ ゴシック" w:hint="eastAsia"/>
          <w:b/>
          <w:sz w:val="24"/>
        </w:rPr>
        <w:t>が前回より導入した部分）</w:t>
      </w:r>
    </w:p>
    <w:p w:rsidR="00000000" w:rsidRDefault="00A57A0F">
      <w:pPr>
        <w:pStyle w:val="ab"/>
        <w:ind w:firstLineChars="100" w:firstLine="240"/>
        <w:rPr>
          <w:rFonts w:ascii="ＭＳ 明朝" w:hAnsi="ＭＳ 明朝"/>
          <w:sz w:val="24"/>
          <w:szCs w:val="24"/>
        </w:rPr>
      </w:pPr>
    </w:p>
    <w:p w:rsidR="00000000" w:rsidRDefault="00A57A0F">
      <w:pPr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・トーナメント試合（３本勝負）により行う。</w:t>
      </w:r>
    </w:p>
    <w:p w:rsidR="00000000" w:rsidRDefault="00A57A0F">
      <w:pPr>
        <w:ind w:leftChars="214" w:left="689" w:hangingChars="100" w:hanging="240"/>
        <w:rPr>
          <w:sz w:val="24"/>
        </w:rPr>
      </w:pPr>
    </w:p>
    <w:p w:rsidR="00000000" w:rsidRDefault="00A57A0F">
      <w:pPr>
        <w:ind w:leftChars="214" w:left="689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・試合時間は準決勝戦まで２分。決勝戦は３分とする。</w:t>
      </w:r>
      <w:r>
        <w:rPr>
          <w:rFonts w:hint="eastAsia"/>
          <w:b/>
          <w:sz w:val="24"/>
          <w:u w:val="wave"/>
        </w:rPr>
        <w:t>但し準決勝までの延長戦は一分とし、それでも勝敗が決定しない場合は判定試合とする。判定は全日本剣道連盟の試合規則（勝敗の決定　第７条</w:t>
      </w:r>
      <w:r>
        <w:rPr>
          <w:rFonts w:hint="eastAsia"/>
          <w:b/>
          <w:sz w:val="24"/>
          <w:u w:val="wave"/>
        </w:rPr>
        <w:t>5</w:t>
      </w:r>
      <w:r>
        <w:rPr>
          <w:rFonts w:hint="eastAsia"/>
          <w:b/>
          <w:sz w:val="24"/>
          <w:u w:val="wave"/>
        </w:rPr>
        <w:t>）、試合細則（第９条）によることとする。</w:t>
      </w:r>
      <w:r>
        <w:rPr>
          <w:rFonts w:hint="eastAsia"/>
          <w:sz w:val="24"/>
        </w:rPr>
        <w:t>決勝戦の延長戦は勝敗の決するまで、時間を区切らずに行う。</w:t>
      </w:r>
    </w:p>
    <w:p w:rsidR="00000000" w:rsidRDefault="00A57A0F">
      <w:pPr>
        <w:pStyle w:val="ab"/>
        <w:ind w:firstLineChars="100" w:firstLine="240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 xml:space="preserve">　</w:t>
      </w:r>
    </w:p>
    <w:p w:rsidR="00000000" w:rsidRDefault="00A57A0F">
      <w:pPr>
        <w:pStyle w:val="ab"/>
        <w:ind w:firstLineChars="100" w:firstLine="240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＊１年生部門は敗者復活戦を行う。</w:t>
      </w:r>
    </w:p>
    <w:p w:rsidR="00000000" w:rsidRDefault="00A57A0F">
      <w:pPr>
        <w:pStyle w:val="ab"/>
        <w:rPr>
          <w:rFonts w:ascii="ＭＳ 明朝" w:hAnsi="ＭＳ 明朝"/>
          <w:sz w:val="24"/>
          <w:szCs w:val="24"/>
        </w:rPr>
      </w:pPr>
      <w:bookmarkStart w:id="1" w:name="OLE_LINK1"/>
      <w:bookmarkStart w:id="2" w:name="OLE_LINK2"/>
    </w:p>
    <w:bookmarkEnd w:id="1"/>
    <w:bookmarkEnd w:id="2"/>
    <w:p w:rsidR="00000000" w:rsidRDefault="00A57A0F">
      <w:pPr>
        <w:pStyle w:val="ab"/>
        <w:ind w:firstLineChars="100" w:firstLine="24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関係資料</w:t>
      </w:r>
      <w:r>
        <w:rPr>
          <w:rFonts w:ascii="ＭＳ 明朝" w:hAnsi="ＭＳ 明朝" w:hint="eastAsia"/>
          <w:sz w:val="24"/>
          <w:szCs w:val="24"/>
        </w:rPr>
        <w:t xml:space="preserve">　　剣道審判規則・</w:t>
      </w:r>
      <w:r>
        <w:rPr>
          <w:rFonts w:ascii="ＭＳ 明朝" w:hAnsi="ＭＳ 明朝" w:hint="eastAsia"/>
          <w:sz w:val="24"/>
          <w:szCs w:val="24"/>
        </w:rPr>
        <w:t>細則抜粋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4972"/>
      </w:tblGrid>
      <w:tr w:rsidR="00000000">
        <w:tc>
          <w:tcPr>
            <w:tcW w:w="4972" w:type="dxa"/>
          </w:tcPr>
          <w:p w:rsidR="00000000" w:rsidRDefault="00A57A0F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規則　（勝敗の決定）</w:t>
            </w:r>
          </w:p>
          <w:p w:rsidR="00000000" w:rsidRDefault="00A57A0F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</w:t>
            </w: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  <w:r>
              <w:rPr>
                <w:rFonts w:ascii="ＭＳ 明朝" w:hAnsi="ＭＳ 明朝" w:hint="eastAsia"/>
                <w:sz w:val="24"/>
                <w:szCs w:val="24"/>
              </w:rPr>
              <w:t>条</w:t>
            </w:r>
            <w:r>
              <w:rPr>
                <w:rFonts w:ascii="ＭＳ 明朝" w:hAnsi="ＭＳ 明朝" w:hint="eastAsia"/>
                <w:sz w:val="24"/>
                <w:szCs w:val="24"/>
              </w:rPr>
              <w:t>5.</w:t>
            </w:r>
            <w:r>
              <w:rPr>
                <w:rFonts w:ascii="ＭＳ 明朝" w:hAnsi="ＭＳ 明朝" w:hint="eastAsia"/>
                <w:sz w:val="24"/>
                <w:szCs w:val="24"/>
              </w:rPr>
              <w:t>判定により勝敗を決する場合は、技能の優劣を優先し、次いで試合態度の良否により、判定する。</w:t>
            </w:r>
          </w:p>
          <w:p w:rsidR="00000000" w:rsidRDefault="00A57A0F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</w:p>
          <w:p w:rsidR="00000000" w:rsidRDefault="00A57A0F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</w:p>
          <w:p w:rsidR="00000000" w:rsidRDefault="00A57A0F">
            <w:pPr>
              <w:pStyle w:val="ab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972" w:type="dxa"/>
          </w:tcPr>
          <w:p w:rsidR="00000000" w:rsidRDefault="00A57A0F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細則</w:t>
            </w:r>
          </w:p>
          <w:p w:rsidR="00000000" w:rsidRDefault="00A57A0F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</w:t>
            </w: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  <w:r>
              <w:rPr>
                <w:rFonts w:ascii="ＭＳ 明朝" w:hAnsi="ＭＳ 明朝" w:hint="eastAsia"/>
                <w:sz w:val="24"/>
                <w:szCs w:val="24"/>
              </w:rPr>
              <w:t>条　規則第</w:t>
            </w: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  <w:r>
              <w:rPr>
                <w:rFonts w:ascii="ＭＳ 明朝" w:hAnsi="ＭＳ 明朝" w:hint="eastAsia"/>
                <w:sz w:val="24"/>
                <w:szCs w:val="24"/>
              </w:rPr>
              <w:t>条</w:t>
            </w: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 w:hint="eastAsia"/>
                <w:sz w:val="24"/>
                <w:szCs w:val="24"/>
              </w:rPr>
              <w:t>号「判定」は、次の通りとする。</w:t>
            </w:r>
          </w:p>
          <w:p w:rsidR="00000000" w:rsidRDefault="00A57A0F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1.</w:t>
            </w:r>
            <w:r>
              <w:rPr>
                <w:rFonts w:ascii="ＭＳ 明朝" w:hAnsi="ＭＳ 明朝" w:hint="eastAsia"/>
                <w:sz w:val="24"/>
                <w:szCs w:val="24"/>
              </w:rPr>
              <w:t>技能の優劣は、有効打突に近い打突を優位とする。</w:t>
            </w:r>
          </w:p>
          <w:p w:rsidR="00000000" w:rsidRDefault="00A57A0F">
            <w:pPr>
              <w:pStyle w:val="ab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2.</w:t>
            </w:r>
            <w:r>
              <w:rPr>
                <w:rFonts w:ascii="ＭＳ 明朝" w:hAnsi="ＭＳ 明朝" w:hint="eastAsia"/>
                <w:sz w:val="24"/>
                <w:szCs w:val="24"/>
              </w:rPr>
              <w:t>試合態度の良否は、姿勢および動作において優っている者を優位とする。</w:t>
            </w:r>
          </w:p>
        </w:tc>
      </w:tr>
    </w:tbl>
    <w:p w:rsidR="00000000" w:rsidRDefault="00A57A0F">
      <w:pPr>
        <w:pStyle w:val="ab"/>
        <w:rPr>
          <w:rFonts w:ascii="ＭＳ 明朝" w:hAnsi="ＭＳ 明朝"/>
          <w:sz w:val="24"/>
          <w:szCs w:val="24"/>
        </w:rPr>
      </w:pPr>
    </w:p>
    <w:p w:rsidR="00000000" w:rsidRDefault="00A57A0F">
      <w:pPr>
        <w:pStyle w:val="ab"/>
        <w:rPr>
          <w:rFonts w:ascii="ＭＳ 明朝" w:hAnsi="ＭＳ 明朝"/>
          <w:sz w:val="24"/>
          <w:szCs w:val="24"/>
        </w:rPr>
      </w:pPr>
    </w:p>
    <w:p w:rsidR="00A57A0F" w:rsidRDefault="00A57A0F">
      <w:pPr>
        <w:pStyle w:val="ab"/>
        <w:rPr>
          <w:rFonts w:hint="eastAsia"/>
          <w:sz w:val="24"/>
        </w:rPr>
      </w:pPr>
    </w:p>
    <w:sectPr w:rsidR="00A57A0F">
      <w:footerReference w:type="even" r:id="rId7"/>
      <w:pgSz w:w="11906" w:h="16838"/>
      <w:pgMar w:top="1440" w:right="1080" w:bottom="1440" w:left="1080" w:header="720" w:footer="720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0F" w:rsidRDefault="00A57A0F">
      <w:r>
        <w:separator/>
      </w:r>
    </w:p>
  </w:endnote>
  <w:endnote w:type="continuationSeparator" w:id="0">
    <w:p w:rsidR="00A57A0F" w:rsidRDefault="00A5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7A0F">
    <w:pPr>
      <w:pStyle w:val="aa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57A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0F" w:rsidRDefault="00A57A0F">
      <w:r>
        <w:separator/>
      </w:r>
    </w:p>
  </w:footnote>
  <w:footnote w:type="continuationSeparator" w:id="0">
    <w:p w:rsidR="00A57A0F" w:rsidRDefault="00A5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5F"/>
    <w:rsid w:val="00056916"/>
    <w:rsid w:val="001034C5"/>
    <w:rsid w:val="0011244B"/>
    <w:rsid w:val="0011245A"/>
    <w:rsid w:val="00121ECD"/>
    <w:rsid w:val="00123625"/>
    <w:rsid w:val="001346FA"/>
    <w:rsid w:val="0015324A"/>
    <w:rsid w:val="0017059F"/>
    <w:rsid w:val="00180E04"/>
    <w:rsid w:val="0019114E"/>
    <w:rsid w:val="001A2E7E"/>
    <w:rsid w:val="001D0955"/>
    <w:rsid w:val="001F2682"/>
    <w:rsid w:val="002162C1"/>
    <w:rsid w:val="00254D63"/>
    <w:rsid w:val="0028167A"/>
    <w:rsid w:val="0029519A"/>
    <w:rsid w:val="00341C5F"/>
    <w:rsid w:val="00345EDD"/>
    <w:rsid w:val="0038583C"/>
    <w:rsid w:val="003D2E8E"/>
    <w:rsid w:val="003D6A8F"/>
    <w:rsid w:val="005073BA"/>
    <w:rsid w:val="005345CC"/>
    <w:rsid w:val="00581361"/>
    <w:rsid w:val="005C6C6D"/>
    <w:rsid w:val="00610985"/>
    <w:rsid w:val="00636B35"/>
    <w:rsid w:val="00640899"/>
    <w:rsid w:val="00655126"/>
    <w:rsid w:val="00660043"/>
    <w:rsid w:val="0068031C"/>
    <w:rsid w:val="0069048A"/>
    <w:rsid w:val="00694181"/>
    <w:rsid w:val="006D482E"/>
    <w:rsid w:val="006E118D"/>
    <w:rsid w:val="006E79C5"/>
    <w:rsid w:val="006F531F"/>
    <w:rsid w:val="0071115A"/>
    <w:rsid w:val="007338D3"/>
    <w:rsid w:val="007422D5"/>
    <w:rsid w:val="00745E00"/>
    <w:rsid w:val="0075124F"/>
    <w:rsid w:val="007570A0"/>
    <w:rsid w:val="007968F5"/>
    <w:rsid w:val="007E0F75"/>
    <w:rsid w:val="00800197"/>
    <w:rsid w:val="00806BD8"/>
    <w:rsid w:val="00812A47"/>
    <w:rsid w:val="00874F05"/>
    <w:rsid w:val="00880461"/>
    <w:rsid w:val="00960A1C"/>
    <w:rsid w:val="009A1057"/>
    <w:rsid w:val="009B7D34"/>
    <w:rsid w:val="009F46C8"/>
    <w:rsid w:val="00A15357"/>
    <w:rsid w:val="00A342E3"/>
    <w:rsid w:val="00A57A0F"/>
    <w:rsid w:val="00A771E5"/>
    <w:rsid w:val="00A80936"/>
    <w:rsid w:val="00A94884"/>
    <w:rsid w:val="00AA2D16"/>
    <w:rsid w:val="00AC30FB"/>
    <w:rsid w:val="00B00A54"/>
    <w:rsid w:val="00B128A6"/>
    <w:rsid w:val="00B30A27"/>
    <w:rsid w:val="00B43EDF"/>
    <w:rsid w:val="00B44C12"/>
    <w:rsid w:val="00B521F1"/>
    <w:rsid w:val="00B7029D"/>
    <w:rsid w:val="00B8357E"/>
    <w:rsid w:val="00B83DDC"/>
    <w:rsid w:val="00BA4B05"/>
    <w:rsid w:val="00BC0B50"/>
    <w:rsid w:val="00C22FDF"/>
    <w:rsid w:val="00C253F4"/>
    <w:rsid w:val="00C32EBB"/>
    <w:rsid w:val="00C34D58"/>
    <w:rsid w:val="00C350B5"/>
    <w:rsid w:val="00C40B8E"/>
    <w:rsid w:val="00C4209A"/>
    <w:rsid w:val="00C850C5"/>
    <w:rsid w:val="00C96775"/>
    <w:rsid w:val="00CB06E1"/>
    <w:rsid w:val="00CE7891"/>
    <w:rsid w:val="00D34509"/>
    <w:rsid w:val="00D425BC"/>
    <w:rsid w:val="00D574C7"/>
    <w:rsid w:val="00D618FA"/>
    <w:rsid w:val="00DA3B11"/>
    <w:rsid w:val="00DB4ED8"/>
    <w:rsid w:val="00DE4867"/>
    <w:rsid w:val="00E04847"/>
    <w:rsid w:val="00E51022"/>
    <w:rsid w:val="00EE3476"/>
    <w:rsid w:val="00F30482"/>
    <w:rsid w:val="00F505FA"/>
    <w:rsid w:val="00F96C74"/>
    <w:rsid w:val="00FA7AF0"/>
    <w:rsid w:val="00FB5102"/>
    <w:rsid w:val="00FC28CD"/>
    <w:rsid w:val="00FC3B37"/>
    <w:rsid w:val="168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日付 (文字)"/>
    <w:link w:val="a8"/>
    <w:rPr>
      <w:kern w:val="2"/>
      <w:sz w:val="21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日付 (文字)"/>
    <w:link w:val="a8"/>
    <w:rPr>
      <w:kern w:val="2"/>
      <w:sz w:val="21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第４回 飛鳥杯 少年少女剣道大会要項（案）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 飛鳥杯 少年少女剣道大会要項（案）</dc:title>
  <dc:creator>海老名市</dc:creator>
  <cp:lastModifiedBy>Shimajirou</cp:lastModifiedBy>
  <cp:revision>2</cp:revision>
  <cp:lastPrinted>2019-11-12T01:08:00Z</cp:lastPrinted>
  <dcterms:created xsi:type="dcterms:W3CDTF">2019-11-16T14:27:00Z</dcterms:created>
  <dcterms:modified xsi:type="dcterms:W3CDTF">2019-11-16T14:27:00Z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